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D1" w:rsidRPr="00FF1906" w:rsidRDefault="001F1D9D">
      <w:pPr>
        <w:pStyle w:val="12"/>
        <w:jc w:val="center"/>
        <w:rPr>
          <w:rFonts w:ascii="Times New Roman" w:hAnsi="Times New Roman"/>
          <w:b/>
          <w:color w:val="auto"/>
          <w:w w:val="115"/>
          <w:sz w:val="28"/>
        </w:rPr>
      </w:pPr>
      <w:r w:rsidRPr="00FF1906">
        <w:rPr>
          <w:rFonts w:ascii="Times New Roman" w:hAnsi="Times New Roman"/>
          <w:b/>
          <w:color w:val="auto"/>
          <w:w w:val="115"/>
          <w:sz w:val="28"/>
          <w:lang w:val="uk-UA"/>
        </w:rPr>
        <w:t>Передвиборча програма кандидата в народні депутати України по одном</w:t>
      </w:r>
      <w:r w:rsidR="00401FFC" w:rsidRPr="00FF1906">
        <w:rPr>
          <w:rFonts w:ascii="Times New Roman" w:hAnsi="Times New Roman"/>
          <w:b/>
          <w:color w:val="auto"/>
          <w:w w:val="115"/>
          <w:sz w:val="28"/>
          <w:lang w:val="uk-UA"/>
        </w:rPr>
        <w:t>андатному виборчому округу</w:t>
      </w:r>
      <w:r w:rsidR="003256D1" w:rsidRPr="00FF1906">
        <w:rPr>
          <w:rFonts w:ascii="Times New Roman" w:hAnsi="Times New Roman"/>
          <w:b/>
          <w:color w:val="auto"/>
          <w:w w:val="115"/>
          <w:sz w:val="28"/>
          <w:lang w:val="uk-UA"/>
        </w:rPr>
        <w:t xml:space="preserve"> №</w:t>
      </w:r>
      <w:r w:rsidR="00FF28F9" w:rsidRPr="00FF1906">
        <w:rPr>
          <w:rFonts w:ascii="Times New Roman" w:hAnsi="Times New Roman"/>
          <w:b/>
          <w:color w:val="auto"/>
          <w:w w:val="115"/>
          <w:sz w:val="28"/>
        </w:rPr>
        <w:t xml:space="preserve"> 2</w:t>
      </w:r>
    </w:p>
    <w:p w:rsidR="001F1D9D" w:rsidRPr="00FF1906" w:rsidRDefault="001F1D9D">
      <w:pPr>
        <w:pStyle w:val="12"/>
        <w:jc w:val="center"/>
        <w:rPr>
          <w:rFonts w:ascii="Times New Roman" w:hAnsi="Times New Roman"/>
          <w:b/>
          <w:color w:val="auto"/>
          <w:w w:val="115"/>
          <w:sz w:val="28"/>
          <w:szCs w:val="28"/>
          <w:lang w:val="uk-UA"/>
        </w:rPr>
      </w:pPr>
      <w:r w:rsidRPr="00FF1906">
        <w:rPr>
          <w:rFonts w:ascii="Times New Roman" w:hAnsi="Times New Roman"/>
          <w:b/>
          <w:color w:val="auto"/>
          <w:w w:val="115"/>
          <w:sz w:val="28"/>
          <w:lang w:val="uk-UA"/>
        </w:rPr>
        <w:t xml:space="preserve"> </w:t>
      </w:r>
      <w:r w:rsidR="00401FFC" w:rsidRPr="00FF1906">
        <w:rPr>
          <w:rFonts w:ascii="Times New Roman" w:hAnsi="Times New Roman"/>
          <w:b/>
          <w:sz w:val="28"/>
          <w:szCs w:val="28"/>
          <w:lang w:val="uk-UA"/>
        </w:rPr>
        <w:t>Новікова Віталія Сергійовича</w:t>
      </w:r>
    </w:p>
    <w:p w:rsidR="007B773A" w:rsidRPr="00FF1906" w:rsidRDefault="007B773A" w:rsidP="007B773A">
      <w:pPr>
        <w:pStyle w:val="12"/>
        <w:rPr>
          <w:rFonts w:ascii="Times New Roman" w:hAnsi="Times New Roman"/>
          <w:b/>
          <w:color w:val="auto"/>
          <w:w w:val="115"/>
          <w:sz w:val="28"/>
          <w:lang w:val="uk-UA"/>
        </w:rPr>
      </w:pPr>
      <w:r w:rsidRPr="00FF1906">
        <w:rPr>
          <w:rFonts w:ascii="Times New Roman" w:hAnsi="Times New Roman"/>
          <w:b/>
          <w:color w:val="auto"/>
          <w:w w:val="115"/>
          <w:sz w:val="28"/>
          <w:lang w:val="uk-UA"/>
        </w:rPr>
        <w:t xml:space="preserve"> </w:t>
      </w:r>
    </w:p>
    <w:p w:rsidR="001F1D9D" w:rsidRPr="00FF1906" w:rsidRDefault="00FC328C">
      <w:pPr>
        <w:pStyle w:val="1"/>
        <w:rPr>
          <w:lang w:val="uk-UA"/>
        </w:rPr>
      </w:pPr>
      <w:r w:rsidRPr="00FF1906">
        <w:rPr>
          <w:lang w:val="uk-UA"/>
        </w:rPr>
        <w:t>Моя програма складається з двох розділів які містять основні напрямки моєї діяльності у разі обрання народним депутатом України.</w:t>
      </w:r>
    </w:p>
    <w:p w:rsidR="00FC328C" w:rsidRPr="00FF1906" w:rsidRDefault="00FC328C">
      <w:pPr>
        <w:pStyle w:val="1"/>
        <w:rPr>
          <w:lang w:val="uk-UA"/>
        </w:rPr>
      </w:pPr>
    </w:p>
    <w:p w:rsidR="009913B7" w:rsidRPr="00FF1906" w:rsidRDefault="009913B7" w:rsidP="009913B7">
      <w:pPr>
        <w:pStyle w:val="1"/>
        <w:ind w:left="720"/>
        <w:rPr>
          <w:lang w:val="uk-UA"/>
        </w:rPr>
      </w:pPr>
    </w:p>
    <w:p w:rsidR="001F1D9D" w:rsidRPr="00FF1906" w:rsidRDefault="001F1D9D">
      <w:pPr>
        <w:pStyle w:val="1"/>
        <w:numPr>
          <w:ilvl w:val="0"/>
          <w:numId w:val="1"/>
        </w:numPr>
        <w:rPr>
          <w:lang w:val="uk-UA"/>
        </w:rPr>
      </w:pPr>
      <w:r w:rsidRPr="00FF1906">
        <w:rPr>
          <w:lang w:val="uk-UA"/>
        </w:rPr>
        <w:t>Соціальна політика</w:t>
      </w:r>
    </w:p>
    <w:p w:rsidR="00911A29" w:rsidRPr="00FF1906" w:rsidRDefault="00911A29" w:rsidP="00911A29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Справедлива оплата праці</w:t>
      </w:r>
    </w:p>
    <w:p w:rsidR="00911A29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складання єдиної шкали заробітної плати включаючи усі бюджетні посади та державних службовців; підйом заробітної плати на верхній частині шкали можливий лише через збільшення базової (найнижчої) ставки;</w:t>
      </w:r>
    </w:p>
    <w:p w:rsidR="00911A29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 xml:space="preserve"> базова ставка (мінімальна заробітна плата) законодавчо дорівнюється прожитковому мінімуму. </w:t>
      </w:r>
    </w:p>
    <w:p w:rsidR="001F1D9D" w:rsidRPr="00FF1906" w:rsidRDefault="001F1D9D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Подолання безробіття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гарантоване працевлаштування молодих спеціалістів;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розвиток промисловості та створення нових робочих місць за рахунок перерозподілу бюджетних надходжень та вдосконалення податкової політики;</w:t>
      </w:r>
    </w:p>
    <w:p w:rsidR="00911A29" w:rsidRPr="00FF1906" w:rsidRDefault="00911A29" w:rsidP="00911A29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Освіта і наука</w:t>
      </w:r>
    </w:p>
    <w:p w:rsidR="00911A29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доступна вища освіта для всіх, хто склав вступні екзамени; держава надає освітній кредит, який повертається шляхом відпрацювання за місцем розподілу;</w:t>
      </w:r>
    </w:p>
    <w:p w:rsidR="00911A29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передбачення в державному бюджеті гарантованої частини на фундаментальну науку.</w:t>
      </w:r>
    </w:p>
    <w:p w:rsidR="001F1D9D" w:rsidRPr="00FF1906" w:rsidRDefault="001F1D9D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Пенсійне забезпечення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 xml:space="preserve">збереження чинного пенсійного віку для жінок та чоловіків; 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мінімальна пенсія у розмірі прожиткового мінімуму;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гарантована пенсія на рівні більше ніж прожитковий мінімум, усім хто досягнув пенсійного віку і відпрацював повний стаж роботи, збільшення розміру пенсії відповідно збільшенню стажу;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за бажанням – додаткове накопичування пенсії в пенсійних фондах за підтримки та гарантіями держави.</w:t>
      </w:r>
    </w:p>
    <w:p w:rsidR="00911A29" w:rsidRPr="00FF1906" w:rsidRDefault="00911A29" w:rsidP="00911A29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Сприяння молодим сім’ям та подолання демографічної кризи</w:t>
      </w:r>
    </w:p>
    <w:p w:rsidR="00911A29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надання державних кредитів молодим сім’ям на придбання житла; погашення певної частки кредиту після народження дитини;  повне погашення кредиту при народженні трьох дітей;</w:t>
      </w:r>
    </w:p>
    <w:p w:rsidR="007B773A" w:rsidRPr="00FF1906" w:rsidRDefault="00911A29" w:rsidP="00911A29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державна допомога на дитину повинна дорівнювати прожитковому мінімуму.</w:t>
      </w:r>
    </w:p>
    <w:p w:rsidR="001F1D9D" w:rsidRPr="00FF1906" w:rsidRDefault="001F1D9D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Охорона здоров'я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lastRenderedPageBreak/>
        <w:t>гарантоване надання безоплатної медичної допомоги усім, хто її потребує; можливість отримання платних медичних послуг за бажанням;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>розвиток медичного страхування за підтримки та гарантіями держави;</w:t>
      </w:r>
    </w:p>
    <w:p w:rsidR="001F1D9D" w:rsidRPr="00FF1906" w:rsidRDefault="001F1D9D">
      <w:pPr>
        <w:pStyle w:val="1"/>
        <w:numPr>
          <w:ilvl w:val="0"/>
          <w:numId w:val="2"/>
        </w:numPr>
        <w:rPr>
          <w:lang w:val="uk-UA"/>
        </w:rPr>
      </w:pPr>
      <w:r w:rsidRPr="00FF1906">
        <w:rPr>
          <w:lang w:val="uk-UA"/>
        </w:rPr>
        <w:t xml:space="preserve">державний контроль за якістю надання медичної допомоги в лікувальних закладах усіх форм власності, та за рівнем цін та якістю медикаментів. </w:t>
      </w:r>
    </w:p>
    <w:p w:rsidR="001F1D9D" w:rsidRPr="00FF1906" w:rsidRDefault="001F1D9D">
      <w:pPr>
        <w:pStyle w:val="1"/>
        <w:rPr>
          <w:lang w:val="uk-UA"/>
        </w:rPr>
      </w:pPr>
    </w:p>
    <w:p w:rsidR="007B773A" w:rsidRPr="00FF1906" w:rsidRDefault="007B773A">
      <w:pPr>
        <w:pStyle w:val="1"/>
        <w:rPr>
          <w:lang w:val="uk-UA"/>
        </w:rPr>
      </w:pPr>
    </w:p>
    <w:p w:rsidR="00FC328C" w:rsidRPr="00FF1906" w:rsidRDefault="00FC328C" w:rsidP="00FC328C">
      <w:pPr>
        <w:pStyle w:val="1"/>
        <w:numPr>
          <w:ilvl w:val="0"/>
          <w:numId w:val="1"/>
        </w:numPr>
        <w:rPr>
          <w:lang w:val="uk-UA"/>
        </w:rPr>
      </w:pPr>
      <w:r w:rsidRPr="00FF1906">
        <w:rPr>
          <w:lang w:val="uk-UA"/>
        </w:rPr>
        <w:t>Адміністрування та зовнішня політика</w:t>
      </w:r>
    </w:p>
    <w:p w:rsidR="00FC328C" w:rsidRPr="00FF1906" w:rsidRDefault="00FC328C" w:rsidP="00FC328C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Збереження політичної стабільності в країні;</w:t>
      </w:r>
    </w:p>
    <w:p w:rsidR="00FC328C" w:rsidRPr="00FF1906" w:rsidRDefault="00FC328C" w:rsidP="00FC328C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Розвиток самоврядування та розбудова цивільного суспільства;</w:t>
      </w:r>
    </w:p>
    <w:p w:rsidR="00FC328C" w:rsidRPr="00FF1906" w:rsidRDefault="00FC328C" w:rsidP="00FC328C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 xml:space="preserve">Існування офіційної двомовності, вільний розвиток багатомовності в місцях мешкання національних меншин; гарантія отримання освіти на рідній мові;   </w:t>
      </w:r>
    </w:p>
    <w:p w:rsidR="00FC328C" w:rsidRPr="00FF1906" w:rsidRDefault="00FC328C" w:rsidP="00FC328C">
      <w:pPr>
        <w:pStyle w:val="1"/>
        <w:numPr>
          <w:ilvl w:val="1"/>
          <w:numId w:val="1"/>
        </w:numPr>
        <w:rPr>
          <w:lang w:val="uk-UA"/>
        </w:rPr>
      </w:pPr>
      <w:r w:rsidRPr="00FF1906">
        <w:rPr>
          <w:lang w:val="uk-UA"/>
        </w:rPr>
        <w:t>Багатовекторна зовнішня політика з орієнтацією на Європу та колишніх сусідів по СРСР, в першу чергу – Росії. Збереження позаблокового статусу країни.</w:t>
      </w:r>
    </w:p>
    <w:p w:rsidR="001F1D9D" w:rsidRPr="00FF1906" w:rsidRDefault="001F1D9D">
      <w:pPr>
        <w:pStyle w:val="1"/>
        <w:rPr>
          <w:b/>
          <w:lang w:val="uk-UA"/>
        </w:rPr>
      </w:pPr>
    </w:p>
    <w:p w:rsidR="001F1D9D" w:rsidRPr="00FF1906" w:rsidRDefault="001F1D9D">
      <w:pPr>
        <w:pStyle w:val="1"/>
        <w:rPr>
          <w:b/>
          <w:lang w:val="uk-UA"/>
        </w:rPr>
      </w:pPr>
    </w:p>
    <w:p w:rsidR="001F1D9D" w:rsidRPr="00FF1906" w:rsidRDefault="001F1D9D">
      <w:pPr>
        <w:pStyle w:val="1"/>
        <w:rPr>
          <w:b/>
          <w:lang w:val="uk-UA"/>
        </w:rPr>
      </w:pPr>
    </w:p>
    <w:sectPr w:rsidR="001F1D9D" w:rsidRPr="00FF1906" w:rsidSect="00D46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BE3"/>
    <w:multiLevelType w:val="multilevel"/>
    <w:tmpl w:val="437C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">
    <w:nsid w:val="56A379D3"/>
    <w:multiLevelType w:val="multilevel"/>
    <w:tmpl w:val="8ACAF8D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6D1"/>
    <w:rsid w:val="000A1C80"/>
    <w:rsid w:val="001F1D9D"/>
    <w:rsid w:val="003256D1"/>
    <w:rsid w:val="00401FFC"/>
    <w:rsid w:val="007B773A"/>
    <w:rsid w:val="00911A29"/>
    <w:rsid w:val="009913B7"/>
    <w:rsid w:val="00B9295F"/>
    <w:rsid w:val="00D468F1"/>
    <w:rsid w:val="00ED1CD3"/>
    <w:rsid w:val="00FC328C"/>
    <w:rsid w:val="00FF1906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68F1"/>
    <w:pPr>
      <w:jc w:val="both"/>
    </w:pPr>
    <w:rPr>
      <w:w w:val="115"/>
      <w:sz w:val="28"/>
    </w:rPr>
  </w:style>
  <w:style w:type="character" w:customStyle="1" w:styleId="10">
    <w:name w:val="Основной шрифт абзаца1"/>
    <w:rsid w:val="00D468F1"/>
  </w:style>
  <w:style w:type="paragraph" w:customStyle="1" w:styleId="11">
    <w:name w:val="Схема документа1"/>
    <w:basedOn w:val="1"/>
    <w:rsid w:val="00D468F1"/>
    <w:pPr>
      <w:shd w:val="clear" w:color="auto" w:fill="000080"/>
    </w:pPr>
    <w:rPr>
      <w:rFonts w:ascii="Tahoma" w:hAnsi="Tahoma"/>
    </w:rPr>
  </w:style>
  <w:style w:type="paragraph" w:customStyle="1" w:styleId="12">
    <w:name w:val="Основной текст1"/>
    <w:basedOn w:val="1"/>
    <w:rsid w:val="00D468F1"/>
    <w:rPr>
      <w:rFonts w:ascii="Europe" w:hAnsi="Europe"/>
      <w:color w:val="000000"/>
      <w:w w:val="10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Передвиборча програма кандидата в народні депутати України по одномандатному виборчому окрузі № 136 Рондіна Володимира Гаррійовича</vt:lpstr>
    </vt:vector>
  </TitlesOfParts>
  <Company>CEC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Передвиборча програма кандидата в народні депутати України по одномандатному виборчому окрузі № 136 Рондіна Володимира Гаррійовича</dc:title>
  <dc:creator>Olga</dc:creator>
  <cp:lastModifiedBy>iuu</cp:lastModifiedBy>
  <cp:revision>4</cp:revision>
  <cp:lastPrinted>2004-04-23T06:42:00Z</cp:lastPrinted>
  <dcterms:created xsi:type="dcterms:W3CDTF">2012-07-04T12:27:00Z</dcterms:created>
  <dcterms:modified xsi:type="dcterms:W3CDTF">2012-07-18T09:36:00Z</dcterms:modified>
</cp:coreProperties>
</file>